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745E" w14:textId="77777777" w:rsidR="00D54BCB" w:rsidRPr="00D54BCB" w:rsidRDefault="00D54BCB" w:rsidP="00D54BCB">
      <w:pPr>
        <w:rPr>
          <w:lang w:eastAsia="en-GB"/>
        </w:rPr>
      </w:pPr>
    </w:p>
    <w:p w14:paraId="7A013722" w14:textId="5EC27AF8" w:rsidR="005B43A8" w:rsidRPr="007C5C68" w:rsidRDefault="00E0521E" w:rsidP="00FB2A70">
      <w:pPr>
        <w:spacing w:after="0"/>
        <w:jc w:val="center"/>
        <w:rPr>
          <w:rFonts w:ascii="Arial" w:hAnsi="Arial" w:cs="Arial"/>
          <w:b/>
          <w:bCs/>
          <w:sz w:val="20"/>
          <w:szCs w:val="20"/>
        </w:rPr>
      </w:pPr>
      <w:r w:rsidRPr="007C5C68">
        <w:rPr>
          <w:rFonts w:ascii="Arial" w:hAnsi="Arial" w:cs="Arial"/>
          <w:b/>
          <w:bCs/>
          <w:sz w:val="20"/>
          <w:szCs w:val="20"/>
        </w:rPr>
        <w:t>MIFIDPRU 8.6 Disclosure</w:t>
      </w:r>
    </w:p>
    <w:p w14:paraId="65F47420" w14:textId="1323BC55" w:rsidR="00FB2A70" w:rsidRPr="007C5C68" w:rsidRDefault="00FB2A70" w:rsidP="00FB2A70">
      <w:pPr>
        <w:spacing w:after="0"/>
        <w:jc w:val="center"/>
        <w:rPr>
          <w:rFonts w:ascii="Arial" w:hAnsi="Arial" w:cs="Arial"/>
          <w:sz w:val="20"/>
          <w:szCs w:val="20"/>
        </w:rPr>
      </w:pPr>
      <w:r w:rsidRPr="007C5C68">
        <w:rPr>
          <w:rFonts w:ascii="Arial" w:hAnsi="Arial" w:cs="Arial"/>
          <w:sz w:val="20"/>
          <w:szCs w:val="20"/>
        </w:rPr>
        <w:t xml:space="preserve">(Based on audited financial statements for the year ending </w:t>
      </w:r>
      <w:r w:rsidR="00737C32">
        <w:rPr>
          <w:rFonts w:ascii="Arial" w:hAnsi="Arial" w:cs="Arial"/>
          <w:sz w:val="20"/>
          <w:szCs w:val="20"/>
        </w:rPr>
        <w:t>31 March 2023</w:t>
      </w:r>
    </w:p>
    <w:p w14:paraId="50432789" w14:textId="77777777" w:rsidR="00536E6A" w:rsidRPr="007C5C68" w:rsidRDefault="00536E6A" w:rsidP="00E0521E">
      <w:pPr>
        <w:rPr>
          <w:rFonts w:ascii="Arial" w:hAnsi="Arial" w:cs="Arial"/>
          <w:b/>
          <w:bCs/>
          <w:sz w:val="20"/>
          <w:szCs w:val="20"/>
        </w:rPr>
      </w:pPr>
    </w:p>
    <w:p w14:paraId="1CE843F4" w14:textId="73459A73" w:rsidR="00475E01" w:rsidRPr="00737C32" w:rsidRDefault="00475E01" w:rsidP="00E0521E">
      <w:pPr>
        <w:rPr>
          <w:rFonts w:ascii="Arial" w:hAnsi="Arial" w:cs="Arial"/>
          <w:b/>
          <w:bCs/>
          <w:color w:val="000000" w:themeColor="text1"/>
          <w:sz w:val="20"/>
          <w:szCs w:val="20"/>
        </w:rPr>
      </w:pPr>
      <w:r w:rsidRPr="00737C32">
        <w:rPr>
          <w:rFonts w:ascii="Arial" w:hAnsi="Arial" w:cs="Arial"/>
          <w:b/>
          <w:bCs/>
          <w:sz w:val="20"/>
          <w:szCs w:val="20"/>
        </w:rPr>
        <w:t>Scope and purpose</w:t>
      </w:r>
    </w:p>
    <w:p w14:paraId="57366FBD" w14:textId="5CDD0074" w:rsidR="00E0521E" w:rsidRPr="007C5C68" w:rsidRDefault="00A6014D" w:rsidP="00E0521E">
      <w:pPr>
        <w:rPr>
          <w:rFonts w:ascii="Arial" w:hAnsi="Arial" w:cs="Arial"/>
          <w:sz w:val="20"/>
          <w:szCs w:val="20"/>
          <w:highlight w:val="yellow"/>
        </w:rPr>
      </w:pPr>
      <w:r w:rsidRPr="007C5C68">
        <w:rPr>
          <w:rFonts w:ascii="Arial" w:hAnsi="Arial" w:cs="Arial"/>
          <w:sz w:val="20"/>
          <w:szCs w:val="20"/>
        </w:rPr>
        <w:t xml:space="preserve">This disclosure relates to </w:t>
      </w:r>
      <w:r w:rsidR="00737C32">
        <w:rPr>
          <w:rFonts w:ascii="Arial" w:hAnsi="Arial" w:cs="Arial"/>
          <w:sz w:val="20"/>
          <w:szCs w:val="20"/>
        </w:rPr>
        <w:t>George Capital LLP</w:t>
      </w:r>
      <w:r w:rsidRPr="007C5C68">
        <w:rPr>
          <w:rFonts w:ascii="Arial" w:hAnsi="Arial" w:cs="Arial"/>
          <w:sz w:val="20"/>
          <w:szCs w:val="20"/>
        </w:rPr>
        <w:t>, which is</w:t>
      </w:r>
      <w:r w:rsidR="006564D5" w:rsidRPr="007C5C68">
        <w:rPr>
          <w:rFonts w:ascii="Arial" w:hAnsi="Arial" w:cs="Arial"/>
          <w:sz w:val="20"/>
          <w:szCs w:val="20"/>
        </w:rPr>
        <w:t xml:space="preserve"> classified as a small and non-interconnected (SNI) MIFIDPRU </w:t>
      </w:r>
      <w:r w:rsidR="00682857">
        <w:rPr>
          <w:rFonts w:ascii="Arial" w:hAnsi="Arial" w:cs="Arial"/>
          <w:sz w:val="20"/>
          <w:szCs w:val="20"/>
        </w:rPr>
        <w:t>I</w:t>
      </w:r>
      <w:r w:rsidR="006564D5" w:rsidRPr="007C5C68">
        <w:rPr>
          <w:rFonts w:ascii="Arial" w:hAnsi="Arial" w:cs="Arial"/>
          <w:sz w:val="20"/>
          <w:szCs w:val="20"/>
        </w:rPr>
        <w:t xml:space="preserve">nvestment </w:t>
      </w:r>
      <w:r w:rsidR="00682857">
        <w:rPr>
          <w:rFonts w:ascii="Arial" w:hAnsi="Arial" w:cs="Arial"/>
          <w:sz w:val="20"/>
          <w:szCs w:val="20"/>
        </w:rPr>
        <w:t>F</w:t>
      </w:r>
      <w:r w:rsidR="006128C9" w:rsidRPr="007C5C68">
        <w:rPr>
          <w:rFonts w:ascii="Arial" w:hAnsi="Arial" w:cs="Arial"/>
          <w:sz w:val="20"/>
          <w:szCs w:val="20"/>
        </w:rPr>
        <w:t>irm and</w:t>
      </w:r>
      <w:r w:rsidR="006564D5" w:rsidRPr="007C5C68">
        <w:rPr>
          <w:rFonts w:ascii="Arial" w:hAnsi="Arial" w:cs="Arial"/>
          <w:sz w:val="20"/>
          <w:szCs w:val="20"/>
        </w:rPr>
        <w:t xml:space="preserve"> is therefore required under MIFIDPRU 8</w:t>
      </w:r>
      <w:r w:rsidR="00C44076" w:rsidRPr="007C5C68">
        <w:rPr>
          <w:rFonts w:ascii="Arial" w:hAnsi="Arial" w:cs="Arial"/>
          <w:sz w:val="20"/>
          <w:szCs w:val="20"/>
        </w:rPr>
        <w:t>.6</w:t>
      </w:r>
      <w:r w:rsidR="006564D5" w:rsidRPr="007C5C68">
        <w:rPr>
          <w:rFonts w:ascii="Arial" w:hAnsi="Arial" w:cs="Arial"/>
          <w:sz w:val="20"/>
          <w:szCs w:val="20"/>
        </w:rPr>
        <w:t xml:space="preserve"> to disclose information relating to remuneration policies and practices.</w:t>
      </w:r>
    </w:p>
    <w:p w14:paraId="1A4B1C78" w14:textId="15FF85F0" w:rsidR="002D7275" w:rsidRPr="007C5C68" w:rsidRDefault="006564D5" w:rsidP="00E0521E">
      <w:pPr>
        <w:rPr>
          <w:rFonts w:ascii="Arial" w:hAnsi="Arial" w:cs="Arial"/>
          <w:sz w:val="20"/>
          <w:szCs w:val="20"/>
        </w:rPr>
      </w:pPr>
      <w:r w:rsidRPr="007C5C68">
        <w:rPr>
          <w:rFonts w:ascii="Arial" w:hAnsi="Arial" w:cs="Arial"/>
          <w:sz w:val="20"/>
          <w:szCs w:val="20"/>
        </w:rPr>
        <w:t xml:space="preserve">In accordance with the rules, the disclosures herein are appropriate to the </w:t>
      </w:r>
      <w:r w:rsidR="00FB2A70" w:rsidRPr="007C5C68">
        <w:rPr>
          <w:rFonts w:ascii="Arial" w:hAnsi="Arial" w:cs="Arial"/>
          <w:sz w:val="20"/>
          <w:szCs w:val="20"/>
        </w:rPr>
        <w:t>size</w:t>
      </w:r>
      <w:r w:rsidR="006128C9" w:rsidRPr="007C5C68">
        <w:rPr>
          <w:rFonts w:ascii="Arial" w:hAnsi="Arial" w:cs="Arial"/>
          <w:sz w:val="20"/>
          <w:szCs w:val="20"/>
        </w:rPr>
        <w:t xml:space="preserve">, </w:t>
      </w:r>
      <w:r w:rsidR="00FB2A70" w:rsidRPr="007C5C68">
        <w:rPr>
          <w:rFonts w:ascii="Arial" w:hAnsi="Arial" w:cs="Arial"/>
          <w:sz w:val="20"/>
          <w:szCs w:val="20"/>
        </w:rPr>
        <w:t xml:space="preserve">internal organisation, nature, scope, and complexity of the </w:t>
      </w:r>
      <w:r w:rsidR="00682857">
        <w:rPr>
          <w:rFonts w:ascii="Arial" w:hAnsi="Arial" w:cs="Arial"/>
          <w:sz w:val="20"/>
          <w:szCs w:val="20"/>
        </w:rPr>
        <w:t>F</w:t>
      </w:r>
      <w:r w:rsidR="00475E01" w:rsidRPr="007C5C68">
        <w:rPr>
          <w:rFonts w:ascii="Arial" w:hAnsi="Arial" w:cs="Arial"/>
          <w:sz w:val="20"/>
          <w:szCs w:val="20"/>
        </w:rPr>
        <w:t>irm</w:t>
      </w:r>
      <w:r w:rsidR="00FB2A70" w:rsidRPr="007C5C68">
        <w:rPr>
          <w:rFonts w:ascii="Arial" w:hAnsi="Arial" w:cs="Arial"/>
          <w:sz w:val="20"/>
          <w:szCs w:val="20"/>
        </w:rPr>
        <w:t>’s activities.</w:t>
      </w:r>
    </w:p>
    <w:p w14:paraId="2E6D2063" w14:textId="7C730A48" w:rsidR="00577E17" w:rsidRDefault="00577E17" w:rsidP="00B56A8F">
      <w:pPr>
        <w:spacing w:before="240"/>
        <w:rPr>
          <w:rFonts w:ascii="Arial" w:hAnsi="Arial" w:cs="Arial"/>
          <w:b/>
          <w:bCs/>
          <w:sz w:val="20"/>
          <w:szCs w:val="20"/>
        </w:rPr>
      </w:pPr>
      <w:r w:rsidRPr="007C5C68">
        <w:rPr>
          <w:rFonts w:ascii="Arial" w:hAnsi="Arial" w:cs="Arial"/>
          <w:b/>
          <w:bCs/>
          <w:sz w:val="20"/>
          <w:szCs w:val="20"/>
        </w:rPr>
        <w:t>Approach to remuneration</w:t>
      </w:r>
    </w:p>
    <w:p w14:paraId="6AE1B289" w14:textId="285A53E3" w:rsidR="00577E17" w:rsidRDefault="00577E17" w:rsidP="00577E17">
      <w:pPr>
        <w:rPr>
          <w:rFonts w:ascii="Arial" w:hAnsi="Arial" w:cs="Arial"/>
          <w:sz w:val="20"/>
          <w:szCs w:val="20"/>
        </w:rPr>
      </w:pPr>
      <w:r w:rsidRPr="00577E17">
        <w:rPr>
          <w:rFonts w:ascii="Arial" w:hAnsi="Arial" w:cs="Arial"/>
          <w:sz w:val="20"/>
          <w:szCs w:val="20"/>
        </w:rPr>
        <w:t>Base salaries provide</w:t>
      </w:r>
      <w:r w:rsidR="007C5C68">
        <w:rPr>
          <w:rFonts w:ascii="Arial" w:hAnsi="Arial" w:cs="Arial"/>
          <w:sz w:val="20"/>
          <w:szCs w:val="20"/>
        </w:rPr>
        <w:t xml:space="preserve"> pre-determined, non-revocable compensation paid</w:t>
      </w:r>
      <w:r w:rsidRPr="00577E17">
        <w:rPr>
          <w:rFonts w:ascii="Arial" w:hAnsi="Arial" w:cs="Arial"/>
          <w:sz w:val="20"/>
          <w:szCs w:val="20"/>
        </w:rPr>
        <w:t xml:space="preserve"> to individuals throughout the year, irrespective of </w:t>
      </w:r>
      <w:r w:rsidR="00A80621">
        <w:rPr>
          <w:rFonts w:ascii="Arial" w:hAnsi="Arial" w:cs="Arial"/>
          <w:sz w:val="20"/>
          <w:szCs w:val="20"/>
        </w:rPr>
        <w:t>Firm</w:t>
      </w:r>
      <w:r w:rsidRPr="00577E17">
        <w:rPr>
          <w:rFonts w:ascii="Arial" w:hAnsi="Arial" w:cs="Arial"/>
          <w:sz w:val="20"/>
          <w:szCs w:val="20"/>
        </w:rPr>
        <w:t xml:space="preserve"> or individual performance. Base salaries and benefits constitute the significant proportion of the </w:t>
      </w:r>
      <w:r w:rsidR="00A80621">
        <w:rPr>
          <w:rFonts w:ascii="Arial" w:hAnsi="Arial" w:cs="Arial"/>
          <w:sz w:val="20"/>
          <w:szCs w:val="20"/>
        </w:rPr>
        <w:t>Firm</w:t>
      </w:r>
      <w:r w:rsidRPr="00577E17">
        <w:rPr>
          <w:rFonts w:ascii="Arial" w:hAnsi="Arial" w:cs="Arial"/>
          <w:sz w:val="20"/>
          <w:szCs w:val="20"/>
        </w:rPr>
        <w:t xml:space="preserve">’s total remuneration. </w:t>
      </w:r>
      <w:r>
        <w:rPr>
          <w:rFonts w:ascii="Arial" w:hAnsi="Arial" w:cs="Arial"/>
          <w:sz w:val="20"/>
          <w:szCs w:val="20"/>
        </w:rPr>
        <w:t xml:space="preserve"> </w:t>
      </w:r>
      <w:r w:rsidRPr="00A5181A">
        <w:rPr>
          <w:rFonts w:ascii="Arial" w:hAnsi="Arial" w:cs="Arial"/>
          <w:sz w:val="20"/>
          <w:szCs w:val="20"/>
        </w:rPr>
        <w:t>Th</w:t>
      </w:r>
      <w:r>
        <w:rPr>
          <w:rFonts w:ascii="Arial" w:hAnsi="Arial" w:cs="Arial"/>
          <w:sz w:val="20"/>
          <w:szCs w:val="20"/>
        </w:rPr>
        <w:t>is</w:t>
      </w:r>
      <w:r w:rsidRPr="00A5181A">
        <w:rPr>
          <w:rFonts w:ascii="Arial" w:hAnsi="Arial" w:cs="Arial"/>
          <w:sz w:val="20"/>
          <w:szCs w:val="20"/>
        </w:rPr>
        <w:t xml:space="preserve"> fixed element is based on the professional experience and responsibility within the </w:t>
      </w:r>
      <w:r w:rsidR="00682857">
        <w:rPr>
          <w:rFonts w:ascii="Arial" w:hAnsi="Arial" w:cs="Arial"/>
          <w:sz w:val="20"/>
          <w:szCs w:val="20"/>
        </w:rPr>
        <w:t>F</w:t>
      </w:r>
      <w:r w:rsidRPr="00A5181A">
        <w:rPr>
          <w:rFonts w:ascii="Arial" w:hAnsi="Arial" w:cs="Arial"/>
          <w:sz w:val="20"/>
          <w:szCs w:val="20"/>
        </w:rPr>
        <w:t>irm of an individual.</w:t>
      </w:r>
    </w:p>
    <w:p w14:paraId="43F4A415" w14:textId="7AEE0BD6" w:rsidR="00577E17" w:rsidRDefault="00577E17" w:rsidP="00577E17">
      <w:pPr>
        <w:rPr>
          <w:rFonts w:ascii="Arial" w:hAnsi="Arial" w:cs="Arial"/>
          <w:sz w:val="20"/>
          <w:szCs w:val="20"/>
        </w:rPr>
      </w:pPr>
      <w:r>
        <w:rPr>
          <w:rFonts w:ascii="Arial" w:hAnsi="Arial" w:cs="Arial"/>
          <w:sz w:val="20"/>
          <w:szCs w:val="20"/>
        </w:rPr>
        <w:t xml:space="preserve">The </w:t>
      </w:r>
      <w:r w:rsidR="00A80621">
        <w:rPr>
          <w:rFonts w:ascii="Arial" w:hAnsi="Arial" w:cs="Arial"/>
          <w:sz w:val="20"/>
          <w:szCs w:val="20"/>
        </w:rPr>
        <w:t>F</w:t>
      </w:r>
      <w:r>
        <w:rPr>
          <w:rFonts w:ascii="Arial" w:hAnsi="Arial" w:cs="Arial"/>
          <w:sz w:val="20"/>
          <w:szCs w:val="20"/>
        </w:rPr>
        <w:t xml:space="preserve">irm </w:t>
      </w:r>
      <w:r w:rsidRPr="00577E17">
        <w:rPr>
          <w:rFonts w:ascii="Arial" w:hAnsi="Arial" w:cs="Arial"/>
          <w:sz w:val="20"/>
          <w:szCs w:val="20"/>
        </w:rPr>
        <w:t xml:space="preserve">runs a discretionary bonus scheme that is based on individual performance as well as the </w:t>
      </w:r>
      <w:r w:rsidR="00A80621">
        <w:rPr>
          <w:rFonts w:ascii="Arial" w:hAnsi="Arial" w:cs="Arial"/>
          <w:sz w:val="20"/>
          <w:szCs w:val="20"/>
        </w:rPr>
        <w:t>Firm</w:t>
      </w:r>
      <w:r w:rsidRPr="00577E17">
        <w:rPr>
          <w:rFonts w:ascii="Arial" w:hAnsi="Arial" w:cs="Arial"/>
          <w:sz w:val="20"/>
          <w:szCs w:val="20"/>
        </w:rPr>
        <w:t>’s underlying profitability. The bonus does not form part of individual’s contractual remuneration.</w:t>
      </w:r>
      <w:r>
        <w:rPr>
          <w:rFonts w:ascii="Arial" w:hAnsi="Arial" w:cs="Arial"/>
          <w:sz w:val="20"/>
          <w:szCs w:val="20"/>
        </w:rPr>
        <w:t xml:space="preserve"> The size of the bonus pool is linked to the overall performance of the </w:t>
      </w:r>
      <w:r w:rsidR="00682857">
        <w:rPr>
          <w:rFonts w:ascii="Arial" w:hAnsi="Arial" w:cs="Arial"/>
          <w:sz w:val="20"/>
          <w:szCs w:val="20"/>
        </w:rPr>
        <w:t>F</w:t>
      </w:r>
      <w:r>
        <w:rPr>
          <w:rFonts w:ascii="Arial" w:hAnsi="Arial" w:cs="Arial"/>
          <w:sz w:val="20"/>
          <w:szCs w:val="20"/>
        </w:rPr>
        <w:t>irm. The employee incentive payment is linked to the contribution of the individual to such performance. Bonuses are discretionary and will diminish or disappear in the event of poor business or individual performance.</w:t>
      </w:r>
    </w:p>
    <w:p w14:paraId="5ADA3686" w14:textId="6CF890B5" w:rsidR="00577E17" w:rsidRPr="00A5181A" w:rsidRDefault="008511D1" w:rsidP="00577E17">
      <w:pPr>
        <w:rPr>
          <w:rFonts w:ascii="Arial" w:hAnsi="Arial" w:cs="Arial"/>
          <w:sz w:val="20"/>
          <w:szCs w:val="20"/>
        </w:rPr>
      </w:pPr>
      <w:r>
        <w:rPr>
          <w:rFonts w:ascii="Arial" w:hAnsi="Arial" w:cs="Arial"/>
          <w:sz w:val="20"/>
          <w:szCs w:val="20"/>
        </w:rPr>
        <w:t>When considering</w:t>
      </w:r>
      <w:r w:rsidR="00577E17" w:rsidRPr="00A5181A">
        <w:rPr>
          <w:rFonts w:ascii="Arial" w:hAnsi="Arial" w:cs="Arial"/>
          <w:sz w:val="20"/>
          <w:szCs w:val="20"/>
        </w:rPr>
        <w:t xml:space="preserve"> individual performance, </w:t>
      </w:r>
      <w:r>
        <w:rPr>
          <w:rFonts w:ascii="Arial" w:hAnsi="Arial" w:cs="Arial"/>
          <w:sz w:val="20"/>
          <w:szCs w:val="20"/>
        </w:rPr>
        <w:t xml:space="preserve">the </w:t>
      </w:r>
      <w:r w:rsidR="00682857">
        <w:rPr>
          <w:rFonts w:ascii="Arial" w:hAnsi="Arial" w:cs="Arial"/>
          <w:sz w:val="20"/>
          <w:szCs w:val="20"/>
        </w:rPr>
        <w:t>F</w:t>
      </w:r>
      <w:r>
        <w:rPr>
          <w:rFonts w:ascii="Arial" w:hAnsi="Arial" w:cs="Arial"/>
          <w:sz w:val="20"/>
          <w:szCs w:val="20"/>
        </w:rPr>
        <w:t>irm</w:t>
      </w:r>
      <w:r w:rsidR="00577E17" w:rsidRPr="00A5181A">
        <w:rPr>
          <w:rFonts w:ascii="Arial" w:hAnsi="Arial" w:cs="Arial"/>
          <w:sz w:val="20"/>
          <w:szCs w:val="20"/>
        </w:rPr>
        <w:t xml:space="preserve"> considers both financial and non-financial metrics</w:t>
      </w:r>
      <w:r>
        <w:rPr>
          <w:rFonts w:ascii="Arial" w:hAnsi="Arial" w:cs="Arial"/>
          <w:sz w:val="20"/>
          <w:szCs w:val="20"/>
        </w:rPr>
        <w:t>.</w:t>
      </w:r>
      <w:r w:rsidR="00577E17" w:rsidRPr="00A5181A">
        <w:rPr>
          <w:rFonts w:ascii="Arial" w:hAnsi="Arial" w:cs="Arial"/>
          <w:sz w:val="20"/>
          <w:szCs w:val="20"/>
        </w:rPr>
        <w:t xml:space="preserve"> To not incentivise unacceptable risk taking, fixed remuneration comprises most staff compensation</w:t>
      </w:r>
      <w:r>
        <w:rPr>
          <w:rFonts w:ascii="Arial" w:hAnsi="Arial" w:cs="Arial"/>
          <w:sz w:val="20"/>
          <w:szCs w:val="20"/>
        </w:rPr>
        <w:t>.</w:t>
      </w:r>
    </w:p>
    <w:p w14:paraId="1022800A" w14:textId="77777777" w:rsidR="00577E17" w:rsidRPr="007C5C68" w:rsidRDefault="00577E17" w:rsidP="00577E17">
      <w:pPr>
        <w:rPr>
          <w:rFonts w:ascii="Arial" w:hAnsi="Arial" w:cs="Arial"/>
          <w:b/>
          <w:bCs/>
          <w:sz w:val="20"/>
          <w:szCs w:val="20"/>
        </w:rPr>
      </w:pPr>
      <w:r w:rsidRPr="007C5C68">
        <w:rPr>
          <w:rFonts w:ascii="Arial" w:hAnsi="Arial" w:cs="Arial"/>
          <w:b/>
          <w:bCs/>
          <w:sz w:val="20"/>
          <w:szCs w:val="20"/>
        </w:rPr>
        <w:t>Objective of financial incentives</w:t>
      </w:r>
    </w:p>
    <w:p w14:paraId="4D70F2B2" w14:textId="30A69789" w:rsidR="00577E17" w:rsidRPr="007C5C68" w:rsidRDefault="008511D1" w:rsidP="007C5C68">
      <w:pPr>
        <w:rPr>
          <w:rFonts w:ascii="Arial" w:hAnsi="Arial" w:cs="Arial"/>
          <w:b/>
          <w:bCs/>
          <w:sz w:val="20"/>
          <w:szCs w:val="20"/>
        </w:rPr>
      </w:pPr>
      <w:r w:rsidRPr="007C5C68">
        <w:rPr>
          <w:rFonts w:ascii="Arial" w:hAnsi="Arial" w:cs="Arial"/>
          <w:sz w:val="20"/>
          <w:szCs w:val="20"/>
        </w:rPr>
        <w:t>The objective of providing financial incentives is to promote</w:t>
      </w:r>
      <w:r w:rsidR="005629C8">
        <w:rPr>
          <w:rFonts w:ascii="Arial" w:hAnsi="Arial" w:cs="Arial"/>
          <w:sz w:val="20"/>
          <w:szCs w:val="20"/>
        </w:rPr>
        <w:t xml:space="preserve"> behaviour that is aligned to the </w:t>
      </w:r>
      <w:r w:rsidR="00682857">
        <w:rPr>
          <w:rFonts w:ascii="Arial" w:hAnsi="Arial" w:cs="Arial"/>
          <w:sz w:val="20"/>
          <w:szCs w:val="20"/>
        </w:rPr>
        <w:t>F</w:t>
      </w:r>
      <w:r w:rsidR="005629C8">
        <w:rPr>
          <w:rFonts w:ascii="Arial" w:hAnsi="Arial" w:cs="Arial"/>
          <w:sz w:val="20"/>
          <w:szCs w:val="20"/>
        </w:rPr>
        <w:t xml:space="preserve">irm’s long-term interests, strategic </w:t>
      </w:r>
      <w:r w:rsidR="007C5C68">
        <w:rPr>
          <w:rFonts w:ascii="Arial" w:hAnsi="Arial" w:cs="Arial"/>
          <w:sz w:val="20"/>
          <w:szCs w:val="20"/>
        </w:rPr>
        <w:t>objectives,</w:t>
      </w:r>
      <w:r w:rsidR="005629C8">
        <w:rPr>
          <w:rFonts w:ascii="Arial" w:hAnsi="Arial" w:cs="Arial"/>
          <w:sz w:val="20"/>
          <w:szCs w:val="20"/>
        </w:rPr>
        <w:t xml:space="preserve"> and ethical standards. </w:t>
      </w:r>
      <w:r w:rsidR="00A80621">
        <w:rPr>
          <w:rFonts w:ascii="Arial" w:hAnsi="Arial" w:cs="Arial"/>
          <w:sz w:val="20"/>
          <w:szCs w:val="20"/>
        </w:rPr>
        <w:t xml:space="preserve">Financial incentives are used to reward individual performance, as well as performance </w:t>
      </w:r>
      <w:proofErr w:type="gramStart"/>
      <w:r w:rsidR="00A80621">
        <w:rPr>
          <w:rFonts w:ascii="Arial" w:hAnsi="Arial" w:cs="Arial"/>
          <w:sz w:val="20"/>
          <w:szCs w:val="20"/>
        </w:rPr>
        <w:t>in excess of</w:t>
      </w:r>
      <w:proofErr w:type="gramEnd"/>
      <w:r w:rsidR="00A80621">
        <w:rPr>
          <w:rFonts w:ascii="Arial" w:hAnsi="Arial" w:cs="Arial"/>
          <w:sz w:val="20"/>
          <w:szCs w:val="20"/>
        </w:rPr>
        <w:t xml:space="preserve"> the staff member’s job description and terms of employment. </w:t>
      </w:r>
      <w:r w:rsidR="005629C8">
        <w:rPr>
          <w:rFonts w:ascii="Arial" w:hAnsi="Arial" w:cs="Arial"/>
          <w:sz w:val="20"/>
          <w:szCs w:val="20"/>
        </w:rPr>
        <w:t xml:space="preserve"> </w:t>
      </w:r>
      <w:r w:rsidRPr="007C5C68">
        <w:rPr>
          <w:rFonts w:ascii="Arial" w:hAnsi="Arial" w:cs="Arial"/>
          <w:sz w:val="20"/>
          <w:szCs w:val="20"/>
        </w:rPr>
        <w:t xml:space="preserve"> </w:t>
      </w:r>
    </w:p>
    <w:p w14:paraId="0D4C197F" w14:textId="7B3222E0" w:rsidR="007A7982" w:rsidRPr="007C5C68" w:rsidRDefault="006564D5" w:rsidP="00B56A8F">
      <w:pPr>
        <w:spacing w:before="240"/>
        <w:rPr>
          <w:rFonts w:ascii="Arial" w:hAnsi="Arial" w:cs="Arial"/>
          <w:b/>
          <w:bCs/>
          <w:sz w:val="20"/>
          <w:szCs w:val="20"/>
        </w:rPr>
      </w:pPr>
      <w:r w:rsidRPr="007C5C68">
        <w:rPr>
          <w:rFonts w:ascii="Arial" w:hAnsi="Arial" w:cs="Arial"/>
          <w:b/>
          <w:bCs/>
          <w:sz w:val="20"/>
          <w:szCs w:val="20"/>
        </w:rPr>
        <w:t>Governance</w:t>
      </w:r>
      <w:r w:rsidR="007A7982" w:rsidRPr="007C5C68">
        <w:rPr>
          <w:rFonts w:ascii="Arial" w:hAnsi="Arial" w:cs="Arial"/>
          <w:b/>
          <w:bCs/>
          <w:sz w:val="20"/>
          <w:szCs w:val="20"/>
        </w:rPr>
        <w:t xml:space="preserve"> and decision-making procedures</w:t>
      </w:r>
    </w:p>
    <w:p w14:paraId="573C42AD" w14:textId="369E48A4" w:rsidR="00A80621" w:rsidRDefault="00A80621" w:rsidP="00A80621">
      <w:pPr>
        <w:rPr>
          <w:rFonts w:ascii="Arial" w:hAnsi="Arial" w:cs="Arial"/>
          <w:sz w:val="20"/>
          <w:szCs w:val="20"/>
        </w:rPr>
      </w:pPr>
      <w:r>
        <w:rPr>
          <w:rFonts w:ascii="Arial" w:hAnsi="Arial" w:cs="Arial"/>
          <w:sz w:val="20"/>
          <w:szCs w:val="20"/>
        </w:rPr>
        <w:t>The Firm is required to implement and maintain remuneration polic</w:t>
      </w:r>
      <w:r w:rsidR="00861E6A">
        <w:rPr>
          <w:rFonts w:ascii="Arial" w:hAnsi="Arial" w:cs="Arial"/>
          <w:sz w:val="20"/>
          <w:szCs w:val="20"/>
        </w:rPr>
        <w:t>ies</w:t>
      </w:r>
      <w:r>
        <w:rPr>
          <w:rFonts w:ascii="Arial" w:hAnsi="Arial" w:cs="Arial"/>
          <w:sz w:val="20"/>
          <w:szCs w:val="20"/>
        </w:rPr>
        <w:t>, procedure</w:t>
      </w:r>
      <w:r w:rsidR="00861E6A">
        <w:rPr>
          <w:rFonts w:ascii="Arial" w:hAnsi="Arial" w:cs="Arial"/>
          <w:sz w:val="20"/>
          <w:szCs w:val="20"/>
        </w:rPr>
        <w:t>s</w:t>
      </w:r>
      <w:r>
        <w:rPr>
          <w:rFonts w:ascii="Arial" w:hAnsi="Arial" w:cs="Arial"/>
          <w:sz w:val="20"/>
          <w:szCs w:val="20"/>
        </w:rPr>
        <w:t xml:space="preserve"> and practice</w:t>
      </w:r>
      <w:r w:rsidR="00861E6A">
        <w:rPr>
          <w:rFonts w:ascii="Arial" w:hAnsi="Arial" w:cs="Arial"/>
          <w:sz w:val="20"/>
          <w:szCs w:val="20"/>
        </w:rPr>
        <w:t>s</w:t>
      </w:r>
      <w:r>
        <w:rPr>
          <w:rFonts w:ascii="Arial" w:hAnsi="Arial" w:cs="Arial"/>
          <w:sz w:val="20"/>
          <w:szCs w:val="20"/>
        </w:rPr>
        <w:t xml:space="preserve"> for all directors and employees that are consistent with and promote sound effective risk management.</w:t>
      </w:r>
    </w:p>
    <w:p w14:paraId="3DD6CE53" w14:textId="6AD862F2" w:rsidR="00A80621" w:rsidRDefault="00A80621" w:rsidP="00A80621">
      <w:pPr>
        <w:rPr>
          <w:rFonts w:ascii="Arial" w:hAnsi="Arial" w:cs="Arial"/>
          <w:sz w:val="20"/>
          <w:szCs w:val="20"/>
        </w:rPr>
      </w:pPr>
      <w:r>
        <w:rPr>
          <w:rFonts w:ascii="Arial" w:hAnsi="Arial" w:cs="Arial"/>
          <w:sz w:val="20"/>
          <w:szCs w:val="20"/>
        </w:rPr>
        <w:t xml:space="preserve">The policy is intended to cover all aspects of remuneration and has been created in accordance with the MIFIDPRU Remuneration Code (SYSC 19G). </w:t>
      </w:r>
    </w:p>
    <w:p w14:paraId="74B61A12" w14:textId="77777777" w:rsidR="00A80621" w:rsidRDefault="00A80621" w:rsidP="00A80621">
      <w:pPr>
        <w:rPr>
          <w:rFonts w:ascii="Arial" w:hAnsi="Arial" w:cs="Arial"/>
          <w:sz w:val="20"/>
          <w:szCs w:val="20"/>
        </w:rPr>
      </w:pPr>
      <w:r>
        <w:rPr>
          <w:rFonts w:ascii="Arial" w:hAnsi="Arial" w:cs="Arial"/>
          <w:sz w:val="20"/>
          <w:szCs w:val="20"/>
        </w:rPr>
        <w:t>The remuneration practices and policies are intended to:</w:t>
      </w:r>
    </w:p>
    <w:p w14:paraId="09130F2A" w14:textId="11691B30" w:rsidR="00A80621" w:rsidRDefault="00A80621" w:rsidP="00A80621">
      <w:pPr>
        <w:pStyle w:val="ListParagraph"/>
        <w:numPr>
          <w:ilvl w:val="0"/>
          <w:numId w:val="4"/>
        </w:numPr>
        <w:rPr>
          <w:rFonts w:ascii="Arial" w:hAnsi="Arial" w:cs="Arial"/>
          <w:sz w:val="20"/>
          <w:szCs w:val="20"/>
        </w:rPr>
      </w:pPr>
      <w:r>
        <w:rPr>
          <w:rFonts w:ascii="Arial" w:hAnsi="Arial" w:cs="Arial"/>
          <w:sz w:val="20"/>
          <w:szCs w:val="20"/>
        </w:rPr>
        <w:t xml:space="preserve">promote sound risk management practices in alignment with the Firm’s risk management </w:t>
      </w:r>
      <w:proofErr w:type="gramStart"/>
      <w:r>
        <w:rPr>
          <w:rFonts w:ascii="Arial" w:hAnsi="Arial" w:cs="Arial"/>
          <w:sz w:val="20"/>
          <w:szCs w:val="20"/>
        </w:rPr>
        <w:t>principles;</w:t>
      </w:r>
      <w:proofErr w:type="gramEnd"/>
    </w:p>
    <w:p w14:paraId="3B398404" w14:textId="77777777" w:rsidR="00A80621" w:rsidRDefault="00A80621" w:rsidP="00A80621">
      <w:pPr>
        <w:pStyle w:val="ListParagraph"/>
        <w:rPr>
          <w:rFonts w:ascii="Arial" w:hAnsi="Arial" w:cs="Arial"/>
          <w:sz w:val="20"/>
          <w:szCs w:val="20"/>
        </w:rPr>
      </w:pPr>
    </w:p>
    <w:p w14:paraId="288A6B6A" w14:textId="4F257E76" w:rsidR="00A80621" w:rsidRDefault="00A80621" w:rsidP="00A80621">
      <w:pPr>
        <w:pStyle w:val="ListParagraph"/>
        <w:numPr>
          <w:ilvl w:val="0"/>
          <w:numId w:val="4"/>
        </w:numPr>
        <w:rPr>
          <w:rFonts w:ascii="Arial" w:hAnsi="Arial" w:cs="Arial"/>
          <w:sz w:val="20"/>
          <w:szCs w:val="20"/>
        </w:rPr>
      </w:pPr>
      <w:r>
        <w:rPr>
          <w:rFonts w:ascii="Arial" w:hAnsi="Arial" w:cs="Arial"/>
          <w:sz w:val="20"/>
          <w:szCs w:val="20"/>
        </w:rPr>
        <w:t xml:space="preserve">discourage risk taking that is inconsistent with the Firm’s risk appetite or risk management policies and </w:t>
      </w:r>
      <w:proofErr w:type="gramStart"/>
      <w:r>
        <w:rPr>
          <w:rFonts w:ascii="Arial" w:hAnsi="Arial" w:cs="Arial"/>
          <w:sz w:val="20"/>
          <w:szCs w:val="20"/>
        </w:rPr>
        <w:t>principles;</w:t>
      </w:r>
      <w:proofErr w:type="gramEnd"/>
    </w:p>
    <w:p w14:paraId="614792CE" w14:textId="77777777" w:rsidR="00A80621" w:rsidRPr="00D871A5" w:rsidRDefault="00A80621" w:rsidP="00A80621">
      <w:pPr>
        <w:pStyle w:val="ListParagraph"/>
        <w:rPr>
          <w:rFonts w:ascii="Arial" w:hAnsi="Arial" w:cs="Arial"/>
          <w:sz w:val="20"/>
          <w:szCs w:val="20"/>
        </w:rPr>
      </w:pPr>
    </w:p>
    <w:p w14:paraId="11D7C5C0" w14:textId="44604B1C" w:rsidR="00A80621" w:rsidRDefault="00A80621" w:rsidP="00A80621">
      <w:pPr>
        <w:pStyle w:val="ListParagraph"/>
        <w:numPr>
          <w:ilvl w:val="0"/>
          <w:numId w:val="4"/>
        </w:numPr>
        <w:rPr>
          <w:rFonts w:ascii="Arial" w:hAnsi="Arial" w:cs="Arial"/>
          <w:sz w:val="20"/>
          <w:szCs w:val="20"/>
        </w:rPr>
      </w:pPr>
      <w:r>
        <w:rPr>
          <w:rFonts w:ascii="Arial" w:hAnsi="Arial" w:cs="Arial"/>
          <w:sz w:val="20"/>
          <w:szCs w:val="20"/>
        </w:rPr>
        <w:t xml:space="preserve">control fixed costs by ensuring that remuneration expense varies according to profitability and does not place undue constraints on the Firm’s ability to maintain its capital </w:t>
      </w:r>
      <w:proofErr w:type="gramStart"/>
      <w:r>
        <w:rPr>
          <w:rFonts w:ascii="Arial" w:hAnsi="Arial" w:cs="Arial"/>
          <w:sz w:val="20"/>
          <w:szCs w:val="20"/>
        </w:rPr>
        <w:t>base;</w:t>
      </w:r>
      <w:proofErr w:type="gramEnd"/>
    </w:p>
    <w:p w14:paraId="1DCA1338" w14:textId="77777777" w:rsidR="00A80621" w:rsidRPr="00D871A5" w:rsidRDefault="00A80621" w:rsidP="00A80621">
      <w:pPr>
        <w:pStyle w:val="ListParagraph"/>
        <w:rPr>
          <w:rFonts w:ascii="Arial" w:hAnsi="Arial" w:cs="Arial"/>
          <w:sz w:val="20"/>
          <w:szCs w:val="20"/>
        </w:rPr>
      </w:pPr>
    </w:p>
    <w:p w14:paraId="6C501538" w14:textId="0C8C28E0" w:rsidR="00A80621" w:rsidRDefault="00A80621" w:rsidP="00A80621">
      <w:pPr>
        <w:pStyle w:val="ListParagraph"/>
        <w:numPr>
          <w:ilvl w:val="0"/>
          <w:numId w:val="4"/>
        </w:numPr>
        <w:rPr>
          <w:rFonts w:ascii="Arial" w:hAnsi="Arial" w:cs="Arial"/>
          <w:sz w:val="20"/>
          <w:szCs w:val="20"/>
        </w:rPr>
      </w:pPr>
      <w:r>
        <w:rPr>
          <w:rFonts w:ascii="Arial" w:hAnsi="Arial" w:cs="Arial"/>
          <w:sz w:val="20"/>
          <w:szCs w:val="20"/>
        </w:rPr>
        <w:t xml:space="preserve">link remuneration to the Firm’s financial and operational performance as well as individual </w:t>
      </w:r>
      <w:proofErr w:type="gramStart"/>
      <w:r>
        <w:rPr>
          <w:rFonts w:ascii="Arial" w:hAnsi="Arial" w:cs="Arial"/>
          <w:sz w:val="20"/>
          <w:szCs w:val="20"/>
        </w:rPr>
        <w:t>performance;</w:t>
      </w:r>
      <w:proofErr w:type="gramEnd"/>
    </w:p>
    <w:p w14:paraId="574B094B" w14:textId="77777777" w:rsidR="00A80621" w:rsidRPr="00D871A5" w:rsidRDefault="00A80621" w:rsidP="00A80621">
      <w:pPr>
        <w:pStyle w:val="ListParagraph"/>
        <w:rPr>
          <w:rFonts w:ascii="Arial" w:hAnsi="Arial" w:cs="Arial"/>
          <w:sz w:val="20"/>
          <w:szCs w:val="20"/>
        </w:rPr>
      </w:pPr>
    </w:p>
    <w:p w14:paraId="74B05723" w14:textId="0E573DE9" w:rsidR="00A80621" w:rsidRDefault="00A80621" w:rsidP="00A80621">
      <w:pPr>
        <w:pStyle w:val="ListParagraph"/>
        <w:numPr>
          <w:ilvl w:val="0"/>
          <w:numId w:val="4"/>
        </w:numPr>
        <w:rPr>
          <w:rFonts w:ascii="Arial" w:hAnsi="Arial" w:cs="Arial"/>
          <w:sz w:val="20"/>
          <w:szCs w:val="20"/>
        </w:rPr>
      </w:pPr>
      <w:r>
        <w:rPr>
          <w:rFonts w:ascii="Arial" w:hAnsi="Arial" w:cs="Arial"/>
          <w:sz w:val="20"/>
          <w:szCs w:val="20"/>
        </w:rPr>
        <w:lastRenderedPageBreak/>
        <w:t xml:space="preserve">provide competitive, but not excessive, levels of remuneration compared to peer Firms of appropriate size, </w:t>
      </w:r>
      <w:r w:rsidR="007C5C68">
        <w:rPr>
          <w:rFonts w:ascii="Arial" w:hAnsi="Arial" w:cs="Arial"/>
          <w:sz w:val="20"/>
          <w:szCs w:val="20"/>
        </w:rPr>
        <w:t>scope,</w:t>
      </w:r>
      <w:r>
        <w:rPr>
          <w:rFonts w:ascii="Arial" w:hAnsi="Arial" w:cs="Arial"/>
          <w:sz w:val="20"/>
          <w:szCs w:val="20"/>
        </w:rPr>
        <w:t xml:space="preserve"> and complexity; and</w:t>
      </w:r>
    </w:p>
    <w:p w14:paraId="2C0BD233" w14:textId="77777777" w:rsidR="00A80621" w:rsidRPr="00E70C4A" w:rsidRDefault="00A80621" w:rsidP="00A80621">
      <w:pPr>
        <w:pStyle w:val="ListParagraph"/>
        <w:rPr>
          <w:rFonts w:ascii="Arial" w:hAnsi="Arial" w:cs="Arial"/>
          <w:sz w:val="20"/>
          <w:szCs w:val="20"/>
        </w:rPr>
      </w:pPr>
    </w:p>
    <w:p w14:paraId="7A058AA5" w14:textId="1301C782" w:rsidR="00A80621" w:rsidRPr="007C5C68" w:rsidRDefault="00A80621" w:rsidP="007C5C68">
      <w:pPr>
        <w:pStyle w:val="ListParagraph"/>
        <w:numPr>
          <w:ilvl w:val="0"/>
          <w:numId w:val="4"/>
        </w:numPr>
        <w:rPr>
          <w:rFonts w:ascii="Arial" w:hAnsi="Arial" w:cs="Arial"/>
          <w:sz w:val="20"/>
          <w:szCs w:val="20"/>
        </w:rPr>
      </w:pPr>
      <w:r>
        <w:rPr>
          <w:rFonts w:ascii="Arial" w:hAnsi="Arial" w:cs="Arial"/>
          <w:sz w:val="20"/>
          <w:szCs w:val="20"/>
        </w:rPr>
        <w:t>promote a positive culture towards risk management and compliance.</w:t>
      </w:r>
    </w:p>
    <w:p w14:paraId="41A4D04E" w14:textId="7FB71BB8" w:rsidR="00A80621" w:rsidRDefault="00A80621" w:rsidP="00A80621">
      <w:pPr>
        <w:rPr>
          <w:rFonts w:ascii="Arial" w:hAnsi="Arial" w:cs="Arial"/>
          <w:sz w:val="20"/>
          <w:szCs w:val="20"/>
        </w:rPr>
      </w:pPr>
      <w:r>
        <w:rPr>
          <w:rFonts w:ascii="Arial" w:hAnsi="Arial" w:cs="Arial"/>
          <w:sz w:val="20"/>
          <w:szCs w:val="20"/>
        </w:rPr>
        <w:t>The remuneration practices and policies are intended to support the Firm’s business strategy, long term interests and values, and to ensure that risk taking does not exceed the Firm’s tolerated level of risk.</w:t>
      </w:r>
    </w:p>
    <w:p w14:paraId="08DEAC41" w14:textId="55604F54" w:rsidR="00103E44" w:rsidRDefault="00A80621" w:rsidP="00006046">
      <w:pPr>
        <w:rPr>
          <w:rFonts w:ascii="Arial" w:hAnsi="Arial" w:cs="Arial"/>
          <w:sz w:val="20"/>
          <w:szCs w:val="20"/>
        </w:rPr>
      </w:pPr>
      <w:r>
        <w:rPr>
          <w:rFonts w:ascii="Arial" w:hAnsi="Arial" w:cs="Arial"/>
          <w:sz w:val="20"/>
          <w:szCs w:val="20"/>
        </w:rPr>
        <w:t xml:space="preserve">Periodic benchmarking ensures that remuneration at individual level is not unreasonable or disproportionate to the amount, nature, </w:t>
      </w:r>
      <w:r w:rsidR="007C5C68">
        <w:rPr>
          <w:rFonts w:ascii="Arial" w:hAnsi="Arial" w:cs="Arial"/>
          <w:sz w:val="20"/>
          <w:szCs w:val="20"/>
        </w:rPr>
        <w:t>quality,</w:t>
      </w:r>
      <w:r>
        <w:rPr>
          <w:rFonts w:ascii="Arial" w:hAnsi="Arial" w:cs="Arial"/>
          <w:sz w:val="20"/>
          <w:szCs w:val="20"/>
        </w:rPr>
        <w:t xml:space="preserve"> and scope of the work performed. </w:t>
      </w:r>
    </w:p>
    <w:p w14:paraId="10A4DF8F" w14:textId="2FC9ADDB" w:rsidR="00103E44" w:rsidRDefault="00103E44" w:rsidP="00006046">
      <w:pPr>
        <w:rPr>
          <w:rFonts w:ascii="Arial" w:hAnsi="Arial" w:cs="Arial"/>
          <w:sz w:val="20"/>
          <w:szCs w:val="20"/>
        </w:rPr>
      </w:pPr>
      <w:r>
        <w:rPr>
          <w:rFonts w:ascii="Arial" w:hAnsi="Arial" w:cs="Arial"/>
          <w:sz w:val="20"/>
          <w:szCs w:val="20"/>
        </w:rPr>
        <w:t xml:space="preserve">The </w:t>
      </w:r>
      <w:r w:rsidR="00BC39E0">
        <w:rPr>
          <w:rFonts w:ascii="Arial" w:hAnsi="Arial" w:cs="Arial"/>
          <w:sz w:val="20"/>
          <w:szCs w:val="20"/>
        </w:rPr>
        <w:t>Firm’s performance is assessed against its overall financial performance, as well as other measures such as new business gained, client satisfaction and employee retention rates.</w:t>
      </w:r>
    </w:p>
    <w:p w14:paraId="178152AA" w14:textId="3C7241F9" w:rsidR="00BC39E0" w:rsidRDefault="00BC39E0" w:rsidP="00006046">
      <w:pPr>
        <w:rPr>
          <w:rFonts w:ascii="Arial" w:hAnsi="Arial" w:cs="Arial"/>
          <w:sz w:val="20"/>
          <w:szCs w:val="20"/>
        </w:rPr>
      </w:pPr>
      <w:r>
        <w:rPr>
          <w:rFonts w:ascii="Arial" w:hAnsi="Arial" w:cs="Arial"/>
          <w:sz w:val="20"/>
          <w:szCs w:val="20"/>
        </w:rPr>
        <w:t xml:space="preserve">In assessing the performance of individual staff </w:t>
      </w:r>
      <w:r w:rsidR="007C5C68">
        <w:rPr>
          <w:rFonts w:ascii="Arial" w:hAnsi="Arial" w:cs="Arial"/>
          <w:sz w:val="20"/>
          <w:szCs w:val="20"/>
        </w:rPr>
        <w:t>members,</w:t>
      </w:r>
      <w:r>
        <w:rPr>
          <w:rFonts w:ascii="Arial" w:hAnsi="Arial" w:cs="Arial"/>
          <w:sz w:val="20"/>
          <w:szCs w:val="20"/>
        </w:rPr>
        <w:t xml:space="preserve"> the Firm </w:t>
      </w:r>
      <w:proofErr w:type="gramStart"/>
      <w:r>
        <w:rPr>
          <w:rFonts w:ascii="Arial" w:hAnsi="Arial" w:cs="Arial"/>
          <w:sz w:val="20"/>
          <w:szCs w:val="20"/>
        </w:rPr>
        <w:t>takes into account</w:t>
      </w:r>
      <w:proofErr w:type="gramEnd"/>
      <w:r>
        <w:rPr>
          <w:rFonts w:ascii="Arial" w:hAnsi="Arial" w:cs="Arial"/>
          <w:sz w:val="20"/>
          <w:szCs w:val="20"/>
        </w:rPr>
        <w:t xml:space="preserve"> financial and non-financial criteria. Non-financial criteria </w:t>
      </w:r>
      <w:proofErr w:type="gramStart"/>
      <w:r>
        <w:rPr>
          <w:rFonts w:ascii="Arial" w:hAnsi="Arial" w:cs="Arial"/>
          <w:sz w:val="20"/>
          <w:szCs w:val="20"/>
        </w:rPr>
        <w:t>includes</w:t>
      </w:r>
      <w:proofErr w:type="gramEnd"/>
      <w:r>
        <w:rPr>
          <w:rFonts w:ascii="Arial" w:hAnsi="Arial" w:cs="Arial"/>
          <w:sz w:val="20"/>
          <w:szCs w:val="20"/>
        </w:rPr>
        <w:t>:</w:t>
      </w:r>
    </w:p>
    <w:p w14:paraId="523B6159" w14:textId="671F8512" w:rsidR="00737C32" w:rsidRDefault="00C16575" w:rsidP="00C16575">
      <w:pPr>
        <w:rPr>
          <w:rFonts w:ascii="Arial" w:hAnsi="Arial" w:cs="Arial"/>
          <w:sz w:val="20"/>
          <w:szCs w:val="20"/>
        </w:rPr>
      </w:pPr>
      <w:r>
        <w:rPr>
          <w:rFonts w:ascii="Arial" w:hAnsi="Arial" w:cs="Arial"/>
          <w:sz w:val="20"/>
          <w:szCs w:val="20"/>
        </w:rPr>
        <w:t>(</w:t>
      </w:r>
      <w:r w:rsidRPr="00C16575">
        <w:rPr>
          <w:rFonts w:ascii="Arial" w:hAnsi="Arial" w:cs="Arial"/>
          <w:sz w:val="20"/>
          <w:szCs w:val="20"/>
        </w:rPr>
        <w:t>a)measures relati</w:t>
      </w:r>
      <w:r>
        <w:rPr>
          <w:rFonts w:ascii="Arial" w:hAnsi="Arial" w:cs="Arial"/>
          <w:sz w:val="20"/>
          <w:szCs w:val="20"/>
        </w:rPr>
        <w:t>ng to building and maintaining positive customer relationships and outcomes,</w:t>
      </w:r>
      <w:r w:rsidR="00A0181C">
        <w:rPr>
          <w:rFonts w:ascii="Arial" w:hAnsi="Arial" w:cs="Arial"/>
          <w:sz w:val="20"/>
          <w:szCs w:val="20"/>
        </w:rPr>
        <w:t xml:space="preserve"> </w:t>
      </w:r>
      <w:r>
        <w:rPr>
          <w:rFonts w:ascii="Arial" w:hAnsi="Arial" w:cs="Arial"/>
          <w:sz w:val="20"/>
          <w:szCs w:val="20"/>
        </w:rPr>
        <w:t xml:space="preserve">such as positive customer </w:t>
      </w:r>
      <w:proofErr w:type="gramStart"/>
      <w:r>
        <w:rPr>
          <w:rFonts w:ascii="Arial" w:hAnsi="Arial" w:cs="Arial"/>
          <w:sz w:val="20"/>
          <w:szCs w:val="20"/>
        </w:rPr>
        <w:t>feedback;</w:t>
      </w:r>
      <w:proofErr w:type="gramEnd"/>
    </w:p>
    <w:p w14:paraId="2E4AB639" w14:textId="5415CAE4" w:rsidR="00C16575" w:rsidRDefault="00C16575" w:rsidP="00C16575">
      <w:pPr>
        <w:rPr>
          <w:rFonts w:ascii="Arial" w:hAnsi="Arial" w:cs="Arial"/>
          <w:sz w:val="20"/>
          <w:szCs w:val="20"/>
        </w:rPr>
      </w:pPr>
      <w:r>
        <w:rPr>
          <w:rFonts w:ascii="Arial" w:hAnsi="Arial" w:cs="Arial"/>
          <w:sz w:val="20"/>
          <w:szCs w:val="20"/>
        </w:rPr>
        <w:t>(b) performance in line with firm strategy and values</w:t>
      </w:r>
    </w:p>
    <w:p w14:paraId="4AE1D3D2" w14:textId="4A7909E2" w:rsidR="00C16575" w:rsidRDefault="00C16575" w:rsidP="00C16575">
      <w:pPr>
        <w:rPr>
          <w:rFonts w:ascii="Arial" w:hAnsi="Arial" w:cs="Arial"/>
          <w:sz w:val="20"/>
          <w:szCs w:val="20"/>
        </w:rPr>
      </w:pPr>
      <w:r>
        <w:rPr>
          <w:rFonts w:ascii="Arial" w:hAnsi="Arial" w:cs="Arial"/>
          <w:sz w:val="20"/>
          <w:szCs w:val="20"/>
        </w:rPr>
        <w:t xml:space="preserve">(c) adherence to the firm’s risk management and compliance </w:t>
      </w:r>
      <w:proofErr w:type="gramStart"/>
      <w:r>
        <w:rPr>
          <w:rFonts w:ascii="Arial" w:hAnsi="Arial" w:cs="Arial"/>
          <w:sz w:val="20"/>
          <w:szCs w:val="20"/>
        </w:rPr>
        <w:t>policies;</w:t>
      </w:r>
      <w:proofErr w:type="gramEnd"/>
    </w:p>
    <w:p w14:paraId="77790A47" w14:textId="68941F4B" w:rsidR="00C16575" w:rsidRPr="00C16575" w:rsidRDefault="00C16575" w:rsidP="00C16575">
      <w:pPr>
        <w:rPr>
          <w:rFonts w:ascii="Arial" w:hAnsi="Arial" w:cs="Arial"/>
          <w:sz w:val="20"/>
          <w:szCs w:val="20"/>
        </w:rPr>
      </w:pPr>
      <w:r>
        <w:rPr>
          <w:rFonts w:ascii="Arial" w:hAnsi="Arial" w:cs="Arial"/>
          <w:sz w:val="20"/>
          <w:szCs w:val="20"/>
        </w:rPr>
        <w:t xml:space="preserve">(d) achieving targets relating to </w:t>
      </w:r>
    </w:p>
    <w:p w14:paraId="29F9CBF3" w14:textId="151EF415" w:rsidR="00737C32" w:rsidRDefault="00C16575" w:rsidP="00737C32">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environmental, social and governance factors; and</w:t>
      </w:r>
    </w:p>
    <w:p w14:paraId="53023B97" w14:textId="36C22F81" w:rsidR="00763C2E" w:rsidRPr="007C5C68" w:rsidRDefault="00C16575" w:rsidP="00737C32">
      <w:pPr>
        <w:rPr>
          <w:rFonts w:ascii="Arial" w:hAnsi="Arial" w:cs="Arial"/>
          <w:sz w:val="20"/>
          <w:szCs w:val="20"/>
        </w:rPr>
      </w:pPr>
      <w:r>
        <w:rPr>
          <w:rFonts w:ascii="Arial" w:hAnsi="Arial" w:cs="Arial"/>
          <w:sz w:val="20"/>
          <w:szCs w:val="20"/>
        </w:rPr>
        <w:t xml:space="preserve">       </w:t>
      </w:r>
      <w:r w:rsidR="00BC39E0" w:rsidRPr="00737C32">
        <w:rPr>
          <w:rFonts w:ascii="Arial" w:hAnsi="Arial" w:cs="Arial"/>
          <w:sz w:val="20"/>
          <w:szCs w:val="20"/>
        </w:rPr>
        <w:t>(ii) diversity and inclusion</w:t>
      </w:r>
    </w:p>
    <w:p w14:paraId="1681B210" w14:textId="3EA28C2F" w:rsidR="00BE5D1B" w:rsidRDefault="00BE5D1B" w:rsidP="00006046">
      <w:pPr>
        <w:rPr>
          <w:rFonts w:ascii="Arial" w:hAnsi="Arial" w:cs="Arial"/>
          <w:b/>
          <w:bCs/>
          <w:sz w:val="20"/>
          <w:szCs w:val="20"/>
        </w:rPr>
      </w:pPr>
      <w:r w:rsidRPr="007C5C68">
        <w:rPr>
          <w:rFonts w:ascii="Arial" w:hAnsi="Arial" w:cs="Arial"/>
          <w:b/>
          <w:bCs/>
          <w:sz w:val="20"/>
          <w:szCs w:val="20"/>
        </w:rPr>
        <w:t>Remuneration components</w:t>
      </w:r>
    </w:p>
    <w:p w14:paraId="282FAF91" w14:textId="38B7920C" w:rsidR="00C16575" w:rsidRPr="007C5C68" w:rsidRDefault="00C16575" w:rsidP="00006046">
      <w:pPr>
        <w:rPr>
          <w:rFonts w:ascii="Arial" w:hAnsi="Arial" w:cs="Arial"/>
          <w:b/>
          <w:bCs/>
          <w:sz w:val="20"/>
          <w:szCs w:val="20"/>
        </w:rPr>
      </w:pPr>
      <w:r>
        <w:rPr>
          <w:rFonts w:ascii="Arial" w:hAnsi="Arial" w:cs="Arial"/>
          <w:b/>
          <w:bCs/>
          <w:sz w:val="20"/>
          <w:szCs w:val="20"/>
        </w:rPr>
        <w:t>All components of remuneration are categorised as either fixed or variable. The entries below are examples.</w:t>
      </w:r>
    </w:p>
    <w:tbl>
      <w:tblPr>
        <w:tblStyle w:val="TableGrid"/>
        <w:tblW w:w="0" w:type="auto"/>
        <w:tblLook w:val="04A0" w:firstRow="1" w:lastRow="0" w:firstColumn="1" w:lastColumn="0" w:noHBand="0" w:noVBand="1"/>
      </w:tblPr>
      <w:tblGrid>
        <w:gridCol w:w="4508"/>
        <w:gridCol w:w="4508"/>
      </w:tblGrid>
      <w:tr w:rsidR="00BE5D1B" w:rsidRPr="00577E17" w14:paraId="04EF0DD6" w14:textId="77777777" w:rsidTr="0047694F">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274C643" w14:textId="77777777" w:rsidR="00BE5D1B" w:rsidRPr="007C5C68" w:rsidRDefault="00BE5D1B" w:rsidP="00BE5D1B">
            <w:pPr>
              <w:rPr>
                <w:rFonts w:ascii="Arial" w:hAnsi="Arial" w:cs="Arial"/>
                <w:b/>
                <w:bCs/>
                <w:sz w:val="20"/>
                <w:szCs w:val="20"/>
              </w:rPr>
            </w:pPr>
            <w:r w:rsidRPr="007C5C68">
              <w:rPr>
                <w:rFonts w:ascii="Arial" w:hAnsi="Arial" w:cs="Arial"/>
                <w:b/>
                <w:bCs/>
                <w:sz w:val="20"/>
                <w:szCs w:val="20"/>
              </w:rPr>
              <w:t xml:space="preserve">Fixed </w:t>
            </w:r>
          </w:p>
        </w:tc>
        <w:tc>
          <w:tcPr>
            <w:tcW w:w="4508"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4E6CA62" w14:textId="77777777" w:rsidR="00BE5D1B" w:rsidRPr="007C5C68" w:rsidRDefault="00BE5D1B" w:rsidP="00BE5D1B">
            <w:pPr>
              <w:rPr>
                <w:rFonts w:ascii="Arial" w:hAnsi="Arial" w:cs="Arial"/>
                <w:b/>
                <w:bCs/>
                <w:sz w:val="20"/>
                <w:szCs w:val="20"/>
              </w:rPr>
            </w:pPr>
            <w:r w:rsidRPr="007C5C68">
              <w:rPr>
                <w:rFonts w:ascii="Arial" w:hAnsi="Arial" w:cs="Arial"/>
                <w:b/>
                <w:bCs/>
                <w:sz w:val="20"/>
                <w:szCs w:val="20"/>
              </w:rPr>
              <w:t>Variable</w:t>
            </w:r>
          </w:p>
        </w:tc>
      </w:tr>
      <w:tr w:rsidR="00BE5D1B" w:rsidRPr="00577E17" w14:paraId="5ABEE9E0" w14:textId="77777777" w:rsidTr="0047694F">
        <w:tc>
          <w:tcPr>
            <w:tcW w:w="4508" w:type="dxa"/>
            <w:tcBorders>
              <w:top w:val="single" w:sz="4" w:space="0" w:color="auto"/>
              <w:left w:val="single" w:sz="4" w:space="0" w:color="auto"/>
              <w:bottom w:val="single" w:sz="4" w:space="0" w:color="auto"/>
              <w:right w:val="single" w:sz="4" w:space="0" w:color="auto"/>
            </w:tcBorders>
          </w:tcPr>
          <w:p w14:paraId="61F2845C" w14:textId="77777777" w:rsidR="00BE5D1B" w:rsidRPr="007C5C68" w:rsidRDefault="00BE5D1B" w:rsidP="00BE5D1B">
            <w:pPr>
              <w:rPr>
                <w:rFonts w:ascii="Arial" w:hAnsi="Arial" w:cs="Arial"/>
                <w:sz w:val="20"/>
                <w:szCs w:val="20"/>
              </w:rPr>
            </w:pPr>
            <w:r w:rsidRPr="007C5C68">
              <w:rPr>
                <w:rFonts w:ascii="Arial" w:hAnsi="Arial" w:cs="Arial"/>
                <w:sz w:val="20"/>
                <w:szCs w:val="20"/>
              </w:rPr>
              <w:t>Salary</w:t>
            </w:r>
          </w:p>
        </w:tc>
        <w:tc>
          <w:tcPr>
            <w:tcW w:w="4508" w:type="dxa"/>
            <w:tcBorders>
              <w:top w:val="single" w:sz="4" w:space="0" w:color="auto"/>
              <w:left w:val="single" w:sz="4" w:space="0" w:color="auto"/>
              <w:bottom w:val="single" w:sz="4" w:space="0" w:color="auto"/>
              <w:right w:val="single" w:sz="4" w:space="0" w:color="auto"/>
            </w:tcBorders>
          </w:tcPr>
          <w:p w14:paraId="2FCCB16A" w14:textId="166BF40D" w:rsidR="00BE5D1B" w:rsidRPr="007C5C68" w:rsidRDefault="00BE5D1B" w:rsidP="00BE5D1B">
            <w:pPr>
              <w:rPr>
                <w:rFonts w:ascii="Arial" w:hAnsi="Arial" w:cs="Arial"/>
                <w:sz w:val="20"/>
                <w:szCs w:val="20"/>
              </w:rPr>
            </w:pPr>
            <w:r w:rsidRPr="007C5C68">
              <w:rPr>
                <w:rFonts w:ascii="Arial" w:hAnsi="Arial" w:cs="Arial"/>
                <w:sz w:val="20"/>
                <w:szCs w:val="20"/>
              </w:rPr>
              <w:t xml:space="preserve">Discretionary </w:t>
            </w:r>
            <w:r w:rsidR="00A87318">
              <w:rPr>
                <w:rFonts w:ascii="Arial" w:hAnsi="Arial" w:cs="Arial"/>
                <w:sz w:val="20"/>
                <w:szCs w:val="20"/>
              </w:rPr>
              <w:t>bonus</w:t>
            </w:r>
          </w:p>
        </w:tc>
      </w:tr>
      <w:tr w:rsidR="00BE5D1B" w:rsidRPr="00577E17" w14:paraId="525D5D2D" w14:textId="77777777" w:rsidTr="0047694F">
        <w:tc>
          <w:tcPr>
            <w:tcW w:w="4508" w:type="dxa"/>
            <w:tcBorders>
              <w:top w:val="single" w:sz="4" w:space="0" w:color="auto"/>
              <w:left w:val="single" w:sz="4" w:space="0" w:color="auto"/>
              <w:bottom w:val="single" w:sz="4" w:space="0" w:color="auto"/>
              <w:right w:val="single" w:sz="4" w:space="0" w:color="auto"/>
            </w:tcBorders>
          </w:tcPr>
          <w:p w14:paraId="691F2352" w14:textId="77777777" w:rsidR="00BE5D1B" w:rsidRPr="007C5C68" w:rsidRDefault="00BE5D1B" w:rsidP="00BE5D1B">
            <w:pPr>
              <w:rPr>
                <w:rFonts w:ascii="Arial" w:hAnsi="Arial" w:cs="Arial"/>
                <w:sz w:val="20"/>
                <w:szCs w:val="20"/>
              </w:rPr>
            </w:pPr>
            <w:r w:rsidRPr="007C5C68">
              <w:rPr>
                <w:rFonts w:ascii="Arial" w:hAnsi="Arial" w:cs="Arial"/>
                <w:sz w:val="20"/>
                <w:szCs w:val="20"/>
              </w:rPr>
              <w:t xml:space="preserve">Drawing on fixed profit shares </w:t>
            </w:r>
          </w:p>
        </w:tc>
        <w:tc>
          <w:tcPr>
            <w:tcW w:w="4508" w:type="dxa"/>
            <w:tcBorders>
              <w:top w:val="single" w:sz="4" w:space="0" w:color="auto"/>
              <w:left w:val="single" w:sz="4" w:space="0" w:color="auto"/>
              <w:bottom w:val="single" w:sz="4" w:space="0" w:color="auto"/>
              <w:right w:val="single" w:sz="4" w:space="0" w:color="auto"/>
            </w:tcBorders>
          </w:tcPr>
          <w:p w14:paraId="6A9ADEAC" w14:textId="77777777" w:rsidR="00BE5D1B" w:rsidRPr="007C5C68" w:rsidRDefault="00BE5D1B" w:rsidP="00BE5D1B">
            <w:pPr>
              <w:rPr>
                <w:rFonts w:ascii="Arial" w:hAnsi="Arial" w:cs="Arial"/>
                <w:sz w:val="20"/>
                <w:szCs w:val="20"/>
              </w:rPr>
            </w:pPr>
            <w:r w:rsidRPr="007C5C68">
              <w:rPr>
                <w:rFonts w:ascii="Arial" w:hAnsi="Arial" w:cs="Arial"/>
                <w:sz w:val="20"/>
                <w:szCs w:val="20"/>
              </w:rPr>
              <w:t>Discretionary pension benefits</w:t>
            </w:r>
          </w:p>
        </w:tc>
      </w:tr>
      <w:tr w:rsidR="00BE5D1B" w:rsidRPr="00577E17" w14:paraId="19450111" w14:textId="77777777" w:rsidTr="0047694F">
        <w:tc>
          <w:tcPr>
            <w:tcW w:w="4508" w:type="dxa"/>
            <w:tcBorders>
              <w:top w:val="single" w:sz="4" w:space="0" w:color="auto"/>
              <w:left w:val="single" w:sz="4" w:space="0" w:color="auto"/>
              <w:bottom w:val="single" w:sz="4" w:space="0" w:color="auto"/>
              <w:right w:val="single" w:sz="4" w:space="0" w:color="auto"/>
            </w:tcBorders>
          </w:tcPr>
          <w:p w14:paraId="62CC6861" w14:textId="77777777" w:rsidR="00BE5D1B" w:rsidRPr="007C5C68" w:rsidRDefault="00BE5D1B" w:rsidP="00BE5D1B">
            <w:pPr>
              <w:rPr>
                <w:rFonts w:ascii="Arial" w:hAnsi="Arial" w:cs="Arial"/>
                <w:sz w:val="20"/>
                <w:szCs w:val="20"/>
              </w:rPr>
            </w:pPr>
          </w:p>
        </w:tc>
        <w:tc>
          <w:tcPr>
            <w:tcW w:w="4508" w:type="dxa"/>
            <w:tcBorders>
              <w:top w:val="single" w:sz="4" w:space="0" w:color="auto"/>
              <w:left w:val="single" w:sz="4" w:space="0" w:color="auto"/>
              <w:bottom w:val="single" w:sz="4" w:space="0" w:color="auto"/>
              <w:right w:val="single" w:sz="4" w:space="0" w:color="auto"/>
            </w:tcBorders>
          </w:tcPr>
          <w:p w14:paraId="56CD33B1" w14:textId="77777777" w:rsidR="00BE5D1B" w:rsidRPr="007C5C68" w:rsidRDefault="00BE5D1B" w:rsidP="00BE5D1B">
            <w:pPr>
              <w:rPr>
                <w:rFonts w:ascii="Arial" w:hAnsi="Arial" w:cs="Arial"/>
                <w:sz w:val="20"/>
                <w:szCs w:val="20"/>
              </w:rPr>
            </w:pPr>
            <w:r w:rsidRPr="007C5C68">
              <w:rPr>
                <w:rFonts w:ascii="Arial" w:hAnsi="Arial" w:cs="Arial"/>
                <w:sz w:val="20"/>
                <w:szCs w:val="20"/>
              </w:rPr>
              <w:t>Carried interest</w:t>
            </w:r>
          </w:p>
        </w:tc>
      </w:tr>
      <w:tr w:rsidR="00BE5D1B" w:rsidRPr="00577E17" w14:paraId="50EA4576" w14:textId="77777777" w:rsidTr="0047694F">
        <w:tc>
          <w:tcPr>
            <w:tcW w:w="4508" w:type="dxa"/>
            <w:tcBorders>
              <w:top w:val="single" w:sz="4" w:space="0" w:color="auto"/>
              <w:left w:val="single" w:sz="4" w:space="0" w:color="auto"/>
              <w:bottom w:val="single" w:sz="4" w:space="0" w:color="auto"/>
              <w:right w:val="single" w:sz="4" w:space="0" w:color="auto"/>
            </w:tcBorders>
          </w:tcPr>
          <w:p w14:paraId="0746B502" w14:textId="77777777" w:rsidR="00BE5D1B" w:rsidRPr="007C5C68" w:rsidRDefault="00BE5D1B" w:rsidP="00BE5D1B">
            <w:pPr>
              <w:rPr>
                <w:rFonts w:ascii="Arial" w:hAnsi="Arial" w:cs="Arial"/>
                <w:sz w:val="20"/>
                <w:szCs w:val="20"/>
              </w:rPr>
            </w:pPr>
          </w:p>
        </w:tc>
        <w:tc>
          <w:tcPr>
            <w:tcW w:w="4508" w:type="dxa"/>
            <w:tcBorders>
              <w:top w:val="single" w:sz="4" w:space="0" w:color="auto"/>
              <w:left w:val="single" w:sz="4" w:space="0" w:color="auto"/>
              <w:bottom w:val="single" w:sz="4" w:space="0" w:color="auto"/>
              <w:right w:val="single" w:sz="4" w:space="0" w:color="auto"/>
            </w:tcBorders>
          </w:tcPr>
          <w:p w14:paraId="3E9ABA4F" w14:textId="77777777" w:rsidR="00BE5D1B" w:rsidRPr="007C5C68" w:rsidRDefault="00BE5D1B" w:rsidP="00BE5D1B">
            <w:pPr>
              <w:rPr>
                <w:rFonts w:ascii="Arial" w:hAnsi="Arial" w:cs="Arial"/>
                <w:sz w:val="20"/>
                <w:szCs w:val="20"/>
              </w:rPr>
            </w:pPr>
          </w:p>
        </w:tc>
      </w:tr>
    </w:tbl>
    <w:p w14:paraId="17B4F8C2" w14:textId="0C350039" w:rsidR="00763C2E" w:rsidRPr="007C5C68" w:rsidRDefault="00763C2E" w:rsidP="00763C2E">
      <w:pPr>
        <w:spacing w:before="240"/>
        <w:rPr>
          <w:rFonts w:ascii="Arial" w:hAnsi="Arial" w:cs="Arial"/>
          <w:b/>
          <w:bCs/>
          <w:sz w:val="20"/>
          <w:szCs w:val="20"/>
        </w:rPr>
      </w:pPr>
      <w:r w:rsidRPr="007C5C68">
        <w:rPr>
          <w:rFonts w:ascii="Arial" w:hAnsi="Arial" w:cs="Arial"/>
          <w:b/>
          <w:bCs/>
          <w:sz w:val="20"/>
          <w:szCs w:val="20"/>
        </w:rPr>
        <w:t>Qua</w:t>
      </w:r>
      <w:r w:rsidR="008F7147">
        <w:rPr>
          <w:rFonts w:ascii="Arial" w:hAnsi="Arial" w:cs="Arial"/>
          <w:b/>
          <w:bCs/>
          <w:sz w:val="20"/>
          <w:szCs w:val="20"/>
        </w:rPr>
        <w:t>nt</w:t>
      </w:r>
      <w:r w:rsidRPr="007C5C68">
        <w:rPr>
          <w:rFonts w:ascii="Arial" w:hAnsi="Arial" w:cs="Arial"/>
          <w:b/>
          <w:bCs/>
          <w:sz w:val="20"/>
          <w:szCs w:val="20"/>
        </w:rPr>
        <w:t>itative disclosures</w:t>
      </w:r>
    </w:p>
    <w:tbl>
      <w:tblPr>
        <w:tblStyle w:val="TableGrid"/>
        <w:tblW w:w="9023" w:type="dxa"/>
        <w:tblLook w:val="04A0" w:firstRow="1" w:lastRow="0" w:firstColumn="1" w:lastColumn="0" w:noHBand="0" w:noVBand="1"/>
      </w:tblPr>
      <w:tblGrid>
        <w:gridCol w:w="4390"/>
        <w:gridCol w:w="4633"/>
      </w:tblGrid>
      <w:tr w:rsidR="00763C2E" w:rsidRPr="00577E17" w14:paraId="0CC06EDD" w14:textId="77777777" w:rsidTr="0047694F">
        <w:trPr>
          <w:trHeight w:val="267"/>
        </w:trPr>
        <w:tc>
          <w:tcPr>
            <w:tcW w:w="9023" w:type="dxa"/>
            <w:gridSpan w:val="2"/>
            <w:shd w:val="clear" w:color="auto" w:fill="EDEDED" w:themeFill="accent3" w:themeFillTint="33"/>
          </w:tcPr>
          <w:p w14:paraId="14B7E958" w14:textId="77777777" w:rsidR="00763C2E" w:rsidRPr="007C5C68" w:rsidRDefault="00763C2E" w:rsidP="0047694F">
            <w:pPr>
              <w:shd w:val="clear" w:color="auto" w:fill="EDEDED" w:themeFill="accent3" w:themeFillTint="33"/>
              <w:rPr>
                <w:rFonts w:ascii="Arial" w:hAnsi="Arial" w:cs="Arial"/>
                <w:b/>
                <w:bCs/>
                <w:sz w:val="20"/>
                <w:szCs w:val="20"/>
              </w:rPr>
            </w:pPr>
            <w:r w:rsidRPr="007C5C68">
              <w:rPr>
                <w:rFonts w:ascii="Arial" w:hAnsi="Arial" w:cs="Arial"/>
                <w:b/>
                <w:bCs/>
                <w:sz w:val="20"/>
                <w:szCs w:val="20"/>
              </w:rPr>
              <w:t xml:space="preserve">Remuneration awarded to all </w:t>
            </w:r>
            <w:proofErr w:type="gramStart"/>
            <w:r w:rsidRPr="007C5C68">
              <w:rPr>
                <w:rFonts w:ascii="Arial" w:hAnsi="Arial" w:cs="Arial"/>
                <w:b/>
                <w:bCs/>
                <w:sz w:val="20"/>
                <w:szCs w:val="20"/>
              </w:rPr>
              <w:t>staff</w:t>
            </w:r>
            <w:proofErr w:type="gramEnd"/>
          </w:p>
          <w:p w14:paraId="2FE9D4D6" w14:textId="51097252" w:rsidR="00763C2E" w:rsidRPr="007C5C68" w:rsidRDefault="00763C2E" w:rsidP="0047694F">
            <w:pPr>
              <w:shd w:val="clear" w:color="auto" w:fill="EDEDED" w:themeFill="accent3" w:themeFillTint="33"/>
              <w:rPr>
                <w:rFonts w:ascii="Arial" w:hAnsi="Arial" w:cs="Arial"/>
                <w:i/>
                <w:iCs/>
                <w:sz w:val="20"/>
                <w:szCs w:val="20"/>
              </w:rPr>
            </w:pPr>
            <w:r w:rsidRPr="007C5C68">
              <w:rPr>
                <w:rFonts w:ascii="Arial" w:hAnsi="Arial" w:cs="Arial"/>
                <w:i/>
                <w:iCs/>
                <w:sz w:val="20"/>
                <w:szCs w:val="20"/>
              </w:rPr>
              <w:t>“staff”</w:t>
            </w:r>
            <w:r w:rsidR="00D10FBC">
              <w:rPr>
                <w:rFonts w:ascii="Arial" w:hAnsi="Arial" w:cs="Arial"/>
                <w:i/>
                <w:iCs/>
                <w:sz w:val="20"/>
                <w:szCs w:val="20"/>
              </w:rPr>
              <w:t xml:space="preserve"> has been interpreted broadly in line with SYSC 19G.1.24G</w:t>
            </w:r>
          </w:p>
          <w:p w14:paraId="3896D043" w14:textId="77777777" w:rsidR="00763C2E" w:rsidRPr="007C5C68" w:rsidRDefault="00763C2E" w:rsidP="008F7147">
            <w:pPr>
              <w:shd w:val="clear" w:color="auto" w:fill="EDEDED" w:themeFill="accent3" w:themeFillTint="33"/>
              <w:rPr>
                <w:rFonts w:ascii="Arial" w:hAnsi="Arial" w:cs="Arial"/>
                <w:i/>
                <w:iCs/>
                <w:sz w:val="20"/>
                <w:szCs w:val="20"/>
              </w:rPr>
            </w:pPr>
          </w:p>
        </w:tc>
      </w:tr>
      <w:tr w:rsidR="00763C2E" w:rsidRPr="00577E17" w14:paraId="70733219" w14:textId="77777777" w:rsidTr="0047694F">
        <w:trPr>
          <w:trHeight w:val="252"/>
        </w:trPr>
        <w:tc>
          <w:tcPr>
            <w:tcW w:w="4390" w:type="dxa"/>
          </w:tcPr>
          <w:p w14:paraId="4D69C390" w14:textId="77777777" w:rsidR="00763C2E" w:rsidRPr="007C5C68" w:rsidRDefault="00763C2E" w:rsidP="0047694F">
            <w:pPr>
              <w:rPr>
                <w:rFonts w:ascii="Arial" w:hAnsi="Arial" w:cs="Arial"/>
                <w:sz w:val="20"/>
                <w:szCs w:val="20"/>
              </w:rPr>
            </w:pPr>
            <w:r w:rsidRPr="007C5C68">
              <w:rPr>
                <w:rFonts w:ascii="Arial" w:hAnsi="Arial" w:cs="Arial"/>
                <w:sz w:val="20"/>
                <w:szCs w:val="20"/>
              </w:rPr>
              <w:t>Fixed remuneration</w:t>
            </w:r>
          </w:p>
        </w:tc>
        <w:tc>
          <w:tcPr>
            <w:tcW w:w="4633" w:type="dxa"/>
          </w:tcPr>
          <w:p w14:paraId="6D805CC0" w14:textId="58C2B908" w:rsidR="00763C2E" w:rsidRPr="007C5C68" w:rsidRDefault="00763C2E" w:rsidP="0047694F">
            <w:pPr>
              <w:rPr>
                <w:rFonts w:ascii="Arial" w:hAnsi="Arial" w:cs="Arial"/>
                <w:sz w:val="20"/>
                <w:szCs w:val="20"/>
              </w:rPr>
            </w:pPr>
            <w:r w:rsidRPr="007C5C68">
              <w:rPr>
                <w:rFonts w:ascii="Arial" w:hAnsi="Arial" w:cs="Arial"/>
                <w:sz w:val="20"/>
                <w:szCs w:val="20"/>
              </w:rPr>
              <w:t>£</w:t>
            </w:r>
            <w:r w:rsidR="00737C32">
              <w:rPr>
                <w:rFonts w:ascii="Arial" w:hAnsi="Arial" w:cs="Arial"/>
                <w:sz w:val="20"/>
                <w:szCs w:val="20"/>
              </w:rPr>
              <w:t>0</w:t>
            </w:r>
          </w:p>
        </w:tc>
      </w:tr>
      <w:tr w:rsidR="00763C2E" w:rsidRPr="00577E17" w14:paraId="1871BF89" w14:textId="77777777" w:rsidTr="0047694F">
        <w:trPr>
          <w:trHeight w:val="252"/>
        </w:trPr>
        <w:tc>
          <w:tcPr>
            <w:tcW w:w="4390" w:type="dxa"/>
          </w:tcPr>
          <w:p w14:paraId="0E55EF22" w14:textId="77777777" w:rsidR="00763C2E" w:rsidRPr="007C5C68" w:rsidRDefault="00763C2E" w:rsidP="0047694F">
            <w:pPr>
              <w:rPr>
                <w:rFonts w:ascii="Arial" w:hAnsi="Arial" w:cs="Arial"/>
                <w:sz w:val="20"/>
                <w:szCs w:val="20"/>
              </w:rPr>
            </w:pPr>
            <w:r w:rsidRPr="007C5C68">
              <w:rPr>
                <w:rFonts w:ascii="Arial" w:hAnsi="Arial" w:cs="Arial"/>
                <w:sz w:val="20"/>
                <w:szCs w:val="20"/>
              </w:rPr>
              <w:t>Variable remuneration</w:t>
            </w:r>
          </w:p>
        </w:tc>
        <w:tc>
          <w:tcPr>
            <w:tcW w:w="4633" w:type="dxa"/>
          </w:tcPr>
          <w:p w14:paraId="11C39D2F" w14:textId="0206DB82" w:rsidR="00763C2E" w:rsidRPr="007C5C68" w:rsidRDefault="00763C2E" w:rsidP="0047694F">
            <w:pPr>
              <w:rPr>
                <w:rFonts w:ascii="Arial" w:hAnsi="Arial" w:cs="Arial"/>
                <w:sz w:val="20"/>
                <w:szCs w:val="20"/>
              </w:rPr>
            </w:pPr>
            <w:r w:rsidRPr="007C5C68">
              <w:rPr>
                <w:rFonts w:ascii="Arial" w:hAnsi="Arial" w:cs="Arial"/>
                <w:sz w:val="20"/>
                <w:szCs w:val="20"/>
              </w:rPr>
              <w:t>£</w:t>
            </w:r>
            <w:r w:rsidR="00737C32">
              <w:rPr>
                <w:rFonts w:ascii="Arial" w:hAnsi="Arial" w:cs="Arial"/>
                <w:sz w:val="20"/>
                <w:szCs w:val="20"/>
              </w:rPr>
              <w:t>239,987</w:t>
            </w:r>
          </w:p>
        </w:tc>
      </w:tr>
      <w:tr w:rsidR="00763C2E" w:rsidRPr="00577E17" w14:paraId="689DC3A8" w14:textId="77777777" w:rsidTr="0047694F">
        <w:trPr>
          <w:trHeight w:val="243"/>
        </w:trPr>
        <w:tc>
          <w:tcPr>
            <w:tcW w:w="4390" w:type="dxa"/>
          </w:tcPr>
          <w:p w14:paraId="5ECDABBB" w14:textId="77777777" w:rsidR="00763C2E" w:rsidRPr="007C5C68" w:rsidRDefault="00763C2E" w:rsidP="0047694F">
            <w:pPr>
              <w:rPr>
                <w:rFonts w:ascii="Arial" w:hAnsi="Arial" w:cs="Arial"/>
                <w:sz w:val="20"/>
                <w:szCs w:val="20"/>
              </w:rPr>
            </w:pPr>
            <w:r w:rsidRPr="007C5C68">
              <w:rPr>
                <w:rFonts w:ascii="Arial" w:hAnsi="Arial" w:cs="Arial"/>
                <w:sz w:val="20"/>
                <w:szCs w:val="20"/>
              </w:rPr>
              <w:t>Total remuneration</w:t>
            </w:r>
          </w:p>
        </w:tc>
        <w:tc>
          <w:tcPr>
            <w:tcW w:w="4633" w:type="dxa"/>
          </w:tcPr>
          <w:p w14:paraId="13421148" w14:textId="11F9B79B" w:rsidR="00763C2E" w:rsidRPr="007C5C68" w:rsidRDefault="00763C2E" w:rsidP="0047694F">
            <w:pPr>
              <w:rPr>
                <w:rFonts w:ascii="Arial" w:hAnsi="Arial" w:cs="Arial"/>
                <w:sz w:val="20"/>
                <w:szCs w:val="20"/>
              </w:rPr>
            </w:pPr>
            <w:r w:rsidRPr="007C5C68">
              <w:rPr>
                <w:rFonts w:ascii="Arial" w:hAnsi="Arial" w:cs="Arial"/>
                <w:sz w:val="20"/>
                <w:szCs w:val="20"/>
              </w:rPr>
              <w:t>£</w:t>
            </w:r>
            <w:r w:rsidR="00737C32">
              <w:rPr>
                <w:rFonts w:ascii="Arial" w:hAnsi="Arial" w:cs="Arial"/>
                <w:sz w:val="20"/>
                <w:szCs w:val="20"/>
              </w:rPr>
              <w:t>239,987</w:t>
            </w:r>
          </w:p>
        </w:tc>
      </w:tr>
    </w:tbl>
    <w:p w14:paraId="185DFEB3" w14:textId="77777777" w:rsidR="00737C32" w:rsidRDefault="00737C32" w:rsidP="00536E6A">
      <w:pPr>
        <w:rPr>
          <w:rFonts w:ascii="Arial" w:hAnsi="Arial" w:cs="Arial"/>
          <w:b/>
          <w:bCs/>
          <w:sz w:val="20"/>
          <w:szCs w:val="20"/>
        </w:rPr>
      </w:pPr>
    </w:p>
    <w:p w14:paraId="1D264339" w14:textId="77777777" w:rsidR="00536E6A" w:rsidRPr="007C5C68" w:rsidRDefault="00536E6A" w:rsidP="00006046">
      <w:pPr>
        <w:rPr>
          <w:rFonts w:ascii="Arial" w:hAnsi="Arial" w:cs="Arial"/>
          <w:sz w:val="20"/>
          <w:szCs w:val="20"/>
        </w:rPr>
      </w:pPr>
    </w:p>
    <w:sectPr w:rsidR="00536E6A" w:rsidRPr="007C5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55F9"/>
    <w:multiLevelType w:val="hybridMultilevel"/>
    <w:tmpl w:val="5254F648"/>
    <w:lvl w:ilvl="0" w:tplc="33BC268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9684A"/>
    <w:multiLevelType w:val="hybridMultilevel"/>
    <w:tmpl w:val="74D0D85C"/>
    <w:lvl w:ilvl="0" w:tplc="2286F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E1AB2"/>
    <w:multiLevelType w:val="hybridMultilevel"/>
    <w:tmpl w:val="7D68851E"/>
    <w:lvl w:ilvl="0" w:tplc="ACAE16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4748A"/>
    <w:multiLevelType w:val="hybridMultilevel"/>
    <w:tmpl w:val="44386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0220D"/>
    <w:multiLevelType w:val="hybridMultilevel"/>
    <w:tmpl w:val="092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7685660">
    <w:abstractNumId w:val="2"/>
  </w:num>
  <w:num w:numId="2" w16cid:durableId="1237327900">
    <w:abstractNumId w:val="0"/>
  </w:num>
  <w:num w:numId="3" w16cid:durableId="40983713">
    <w:abstractNumId w:val="3"/>
  </w:num>
  <w:num w:numId="4" w16cid:durableId="84345073">
    <w:abstractNumId w:val="4"/>
  </w:num>
  <w:num w:numId="5" w16cid:durableId="611982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E"/>
    <w:rsid w:val="00006046"/>
    <w:rsid w:val="000A097C"/>
    <w:rsid w:val="000B2813"/>
    <w:rsid w:val="00103E44"/>
    <w:rsid w:val="00134EBC"/>
    <w:rsid w:val="0014584F"/>
    <w:rsid w:val="0015375B"/>
    <w:rsid w:val="001D311A"/>
    <w:rsid w:val="001D518A"/>
    <w:rsid w:val="001F0A7C"/>
    <w:rsid w:val="002173DB"/>
    <w:rsid w:val="00254C33"/>
    <w:rsid w:val="0027175A"/>
    <w:rsid w:val="00293BA8"/>
    <w:rsid w:val="002A5134"/>
    <w:rsid w:val="002C4D7E"/>
    <w:rsid w:val="002D7275"/>
    <w:rsid w:val="002F7303"/>
    <w:rsid w:val="003312AB"/>
    <w:rsid w:val="00332FED"/>
    <w:rsid w:val="0034230F"/>
    <w:rsid w:val="00346A3A"/>
    <w:rsid w:val="0036587D"/>
    <w:rsid w:val="003B042A"/>
    <w:rsid w:val="003B583A"/>
    <w:rsid w:val="003B6AD2"/>
    <w:rsid w:val="003C031E"/>
    <w:rsid w:val="00410AFB"/>
    <w:rsid w:val="00426042"/>
    <w:rsid w:val="00475A80"/>
    <w:rsid w:val="00475E01"/>
    <w:rsid w:val="004A11C5"/>
    <w:rsid w:val="004E479E"/>
    <w:rsid w:val="004F22D2"/>
    <w:rsid w:val="00501A30"/>
    <w:rsid w:val="00536E6A"/>
    <w:rsid w:val="00542E91"/>
    <w:rsid w:val="005455FB"/>
    <w:rsid w:val="005629C8"/>
    <w:rsid w:val="00577E17"/>
    <w:rsid w:val="005849D1"/>
    <w:rsid w:val="005B43A8"/>
    <w:rsid w:val="005D2FB0"/>
    <w:rsid w:val="005E699F"/>
    <w:rsid w:val="0060072E"/>
    <w:rsid w:val="006128C9"/>
    <w:rsid w:val="006519C3"/>
    <w:rsid w:val="006564D5"/>
    <w:rsid w:val="00661397"/>
    <w:rsid w:val="00682857"/>
    <w:rsid w:val="006913C7"/>
    <w:rsid w:val="00697FB7"/>
    <w:rsid w:val="00710129"/>
    <w:rsid w:val="00737C32"/>
    <w:rsid w:val="00763C2E"/>
    <w:rsid w:val="007A7982"/>
    <w:rsid w:val="007C5C68"/>
    <w:rsid w:val="007D26CA"/>
    <w:rsid w:val="007D735D"/>
    <w:rsid w:val="00840FCF"/>
    <w:rsid w:val="008511D1"/>
    <w:rsid w:val="00861E6A"/>
    <w:rsid w:val="008F7147"/>
    <w:rsid w:val="00916B67"/>
    <w:rsid w:val="009243F7"/>
    <w:rsid w:val="009246D2"/>
    <w:rsid w:val="009300DE"/>
    <w:rsid w:val="009406F0"/>
    <w:rsid w:val="00984788"/>
    <w:rsid w:val="009B1D3B"/>
    <w:rsid w:val="009E4423"/>
    <w:rsid w:val="009F495B"/>
    <w:rsid w:val="00A0181C"/>
    <w:rsid w:val="00A24B63"/>
    <w:rsid w:val="00A35563"/>
    <w:rsid w:val="00A50E57"/>
    <w:rsid w:val="00A6014D"/>
    <w:rsid w:val="00A80621"/>
    <w:rsid w:val="00A81C38"/>
    <w:rsid w:val="00A87318"/>
    <w:rsid w:val="00A96E39"/>
    <w:rsid w:val="00B00D49"/>
    <w:rsid w:val="00B46C8F"/>
    <w:rsid w:val="00B56A8F"/>
    <w:rsid w:val="00B6632B"/>
    <w:rsid w:val="00B70C98"/>
    <w:rsid w:val="00B8249E"/>
    <w:rsid w:val="00BB445A"/>
    <w:rsid w:val="00BC39E0"/>
    <w:rsid w:val="00BD1E73"/>
    <w:rsid w:val="00BE5D1B"/>
    <w:rsid w:val="00BE67DF"/>
    <w:rsid w:val="00C064F8"/>
    <w:rsid w:val="00C16575"/>
    <w:rsid w:val="00C44076"/>
    <w:rsid w:val="00C440E5"/>
    <w:rsid w:val="00C8046E"/>
    <w:rsid w:val="00CF6E91"/>
    <w:rsid w:val="00D10FBC"/>
    <w:rsid w:val="00D54BCB"/>
    <w:rsid w:val="00DA16CD"/>
    <w:rsid w:val="00DE639C"/>
    <w:rsid w:val="00E040FF"/>
    <w:rsid w:val="00E0521E"/>
    <w:rsid w:val="00E27C33"/>
    <w:rsid w:val="00EE32FB"/>
    <w:rsid w:val="00EF3614"/>
    <w:rsid w:val="00F04FEF"/>
    <w:rsid w:val="00F23028"/>
    <w:rsid w:val="00F24153"/>
    <w:rsid w:val="00F307DD"/>
    <w:rsid w:val="00FB2A70"/>
    <w:rsid w:val="00FD25E5"/>
    <w:rsid w:val="00FF5760"/>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C11B"/>
  <w15:chartTrackingRefBased/>
  <w15:docId w15:val="{B3D9243F-458D-455E-B9A8-C1332323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1E"/>
    <w:pPr>
      <w:ind w:left="720"/>
      <w:contextualSpacing/>
    </w:pPr>
  </w:style>
  <w:style w:type="table" w:styleId="TableGrid">
    <w:name w:val="Table Grid"/>
    <w:basedOn w:val="TableNormal"/>
    <w:uiPriority w:val="39"/>
    <w:rsid w:val="0050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97C"/>
    <w:rPr>
      <w:sz w:val="16"/>
      <w:szCs w:val="16"/>
    </w:rPr>
  </w:style>
  <w:style w:type="paragraph" w:styleId="CommentText">
    <w:name w:val="annotation text"/>
    <w:basedOn w:val="Normal"/>
    <w:link w:val="CommentTextChar"/>
    <w:uiPriority w:val="99"/>
    <w:unhideWhenUsed/>
    <w:rsid w:val="000A097C"/>
    <w:pPr>
      <w:spacing w:line="240" w:lineRule="auto"/>
    </w:pPr>
    <w:rPr>
      <w:sz w:val="20"/>
      <w:szCs w:val="20"/>
    </w:rPr>
  </w:style>
  <w:style w:type="character" w:customStyle="1" w:styleId="CommentTextChar">
    <w:name w:val="Comment Text Char"/>
    <w:basedOn w:val="DefaultParagraphFont"/>
    <w:link w:val="CommentText"/>
    <w:uiPriority w:val="99"/>
    <w:rsid w:val="000A097C"/>
    <w:rPr>
      <w:sz w:val="20"/>
      <w:szCs w:val="20"/>
    </w:rPr>
  </w:style>
  <w:style w:type="paragraph" w:styleId="CommentSubject">
    <w:name w:val="annotation subject"/>
    <w:basedOn w:val="CommentText"/>
    <w:next w:val="CommentText"/>
    <w:link w:val="CommentSubjectChar"/>
    <w:uiPriority w:val="99"/>
    <w:semiHidden/>
    <w:unhideWhenUsed/>
    <w:rsid w:val="000A097C"/>
    <w:rPr>
      <w:b/>
      <w:bCs/>
    </w:rPr>
  </w:style>
  <w:style w:type="character" w:customStyle="1" w:styleId="CommentSubjectChar">
    <w:name w:val="Comment Subject Char"/>
    <w:basedOn w:val="CommentTextChar"/>
    <w:link w:val="CommentSubject"/>
    <w:uiPriority w:val="99"/>
    <w:semiHidden/>
    <w:rsid w:val="000A097C"/>
    <w:rPr>
      <w:b/>
      <w:bCs/>
      <w:sz w:val="20"/>
      <w:szCs w:val="20"/>
    </w:rPr>
  </w:style>
  <w:style w:type="paragraph" w:styleId="Revision">
    <w:name w:val="Revision"/>
    <w:hidden/>
    <w:uiPriority w:val="99"/>
    <w:semiHidden/>
    <w:rsid w:val="004E479E"/>
    <w:pPr>
      <w:spacing w:after="0" w:line="240" w:lineRule="auto"/>
    </w:pPr>
  </w:style>
  <w:style w:type="paragraph" w:styleId="Title">
    <w:name w:val="Title"/>
    <w:basedOn w:val="Normal"/>
    <w:next w:val="Normal"/>
    <w:link w:val="TitleChar"/>
    <w:uiPriority w:val="10"/>
    <w:qFormat/>
    <w:rsid w:val="00D54BCB"/>
    <w:pPr>
      <w:spacing w:after="0" w:line="240" w:lineRule="auto"/>
      <w:ind w:left="366" w:hanging="366"/>
      <w:contextualSpacing/>
      <w:jc w:val="both"/>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D54BCB"/>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2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Santos</dc:creator>
  <cp:keywords/>
  <dc:description/>
  <cp:lastModifiedBy>Andrew Appleyard</cp:lastModifiedBy>
  <cp:revision>3</cp:revision>
  <dcterms:created xsi:type="dcterms:W3CDTF">2023-11-09T08:48:00Z</dcterms:created>
  <dcterms:modified xsi:type="dcterms:W3CDTF">2023-11-13T16:19:00Z</dcterms:modified>
</cp:coreProperties>
</file>